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2000" w:type="dxa"/>
        <w:jc w:val="center"/>
        <w:shd w:val="clear" w:color="auto" w:fill="E7E7E7"/>
        <w:tblCellMar>
          <w:left w:w="0" w:type="dxa"/>
          <w:right w:w="0" w:type="dxa"/>
        </w:tblCellMar>
        <w:tblLook w:val="04A0" w:firstRow="1" w:lastRow="0" w:firstColumn="1" w:lastColumn="0" w:noHBand="0" w:noVBand="1"/>
      </w:tblPr>
      <w:tblGrid>
        <w:gridCol w:w="12000"/>
      </w:tblGrid>
      <w:tr w:rsidR="00C80E5C" w14:paraId="32DF62B7" w14:textId="77777777" w:rsidTr="00C80E5C">
        <w:trPr>
          <w:jc w:val="center"/>
        </w:trPr>
        <w:tc>
          <w:tcPr>
            <w:tcW w:w="0" w:type="auto"/>
            <w:shd w:val="clear" w:color="auto" w:fill="E7E7E7"/>
            <w:hideMark/>
          </w:tcPr>
          <w:tbl>
            <w:tblPr>
              <w:tblW w:w="0" w:type="auto"/>
              <w:jc w:val="center"/>
              <w:shd w:val="clear" w:color="auto" w:fill="FFFFFF"/>
              <w:tblCellMar>
                <w:left w:w="0" w:type="dxa"/>
                <w:right w:w="0" w:type="dxa"/>
              </w:tblCellMar>
              <w:tblLook w:val="04A0" w:firstRow="1" w:lastRow="0" w:firstColumn="1" w:lastColumn="0" w:noHBand="0" w:noVBand="1"/>
            </w:tblPr>
            <w:tblGrid>
              <w:gridCol w:w="12000"/>
            </w:tblGrid>
            <w:tr w:rsidR="00C80E5C" w14:paraId="146CBB0C" w14:textId="77777777">
              <w:trPr>
                <w:jc w:val="center"/>
              </w:trPr>
              <w:tc>
                <w:tcPr>
                  <w:tcW w:w="0" w:type="auto"/>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2000"/>
                  </w:tblGrid>
                  <w:tr w:rsidR="00C80E5C" w14:paraId="2FF766D7" w14:textId="77777777">
                    <w:tc>
                      <w:tcPr>
                        <w:tcW w:w="5000" w:type="pct"/>
                        <w:tcBorders>
                          <w:top w:val="nil"/>
                          <w:left w:val="nil"/>
                          <w:bottom w:val="single" w:sz="48" w:space="0" w:color="003DA5"/>
                          <w:right w:val="nil"/>
                        </w:tcBorders>
                        <w:tcMar>
                          <w:top w:w="450" w:type="dxa"/>
                          <w:left w:w="450" w:type="dxa"/>
                          <w:bottom w:w="450" w:type="dxa"/>
                          <w:right w:w="450" w:type="dxa"/>
                        </w:tcMar>
                        <w:hideMark/>
                      </w:tcPr>
                      <w:p w14:paraId="49F0A504" w14:textId="34B78B84" w:rsidR="00C80E5C" w:rsidRDefault="00C80E5C">
                        <w:r>
                          <w:rPr>
                            <w:noProof/>
                            <w:color w:val="0000FF"/>
                            <w:bdr w:val="none" w:sz="0" w:space="0" w:color="auto" w:frame="1"/>
                          </w:rPr>
                          <w:drawing>
                            <wp:anchor distT="0" distB="0" distL="114300" distR="114300" simplePos="0" relativeHeight="251658240" behindDoc="0" locked="0" layoutInCell="1" allowOverlap="1" wp14:anchorId="04266501" wp14:editId="4A11408B">
                              <wp:simplePos x="0" y="0"/>
                              <wp:positionH relativeFrom="column">
                                <wp:posOffset>-132080</wp:posOffset>
                              </wp:positionH>
                              <wp:positionV relativeFrom="page">
                                <wp:posOffset>-743585</wp:posOffset>
                              </wp:positionV>
                              <wp:extent cx="2870835" cy="786130"/>
                              <wp:effectExtent l="0" t="0" r="5715" b="0"/>
                              <wp:wrapNone/>
                              <wp:docPr id="5" name="Picture 5" descr=" Institute of Education Sciences">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Institute of Education Scienc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0835" cy="7861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41311E85" w14:textId="10DACB57" w:rsidR="00C80E5C" w:rsidRDefault="00C80E5C">
                  <w:pPr>
                    <w:rPr>
                      <w:rFonts w:ascii="Times New Roman" w:eastAsia="Times New Roman" w:hAnsi="Times New Roman" w:cs="Times New Roman"/>
                      <w:sz w:val="20"/>
                      <w:szCs w:val="20"/>
                    </w:rPr>
                  </w:pPr>
                </w:p>
              </w:tc>
            </w:tr>
            <w:tr w:rsidR="00C80E5C" w14:paraId="577B2E3E" w14:textId="77777777">
              <w:trPr>
                <w:jc w:val="center"/>
              </w:trPr>
              <w:tc>
                <w:tcPr>
                  <w:tcW w:w="0" w:type="auto"/>
                  <w:shd w:val="clear" w:color="auto" w:fill="FFFFFF"/>
                  <w:tcMar>
                    <w:top w:w="450" w:type="dxa"/>
                    <w:left w:w="450" w:type="dxa"/>
                    <w:bottom w:w="450" w:type="dxa"/>
                    <w:right w:w="45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1100"/>
                  </w:tblGrid>
                  <w:tr w:rsidR="00C80E5C" w14:paraId="6AE3F779" w14:textId="77777777">
                    <w:tc>
                      <w:tcPr>
                        <w:tcW w:w="5000" w:type="pct"/>
                        <w:vAlign w:val="center"/>
                        <w:hideMark/>
                      </w:tcPr>
                      <w:p w14:paraId="2A506FF6" w14:textId="4D5D6C07" w:rsidR="00C80E5C" w:rsidRDefault="00C80E5C">
                        <w:pPr>
                          <w:pStyle w:val="Heading1"/>
                          <w:spacing w:before="150" w:beforeAutospacing="0" w:after="300" w:afterAutospacing="0" w:line="450" w:lineRule="atLeast"/>
                          <w:rPr>
                            <w:rFonts w:ascii="Times New Roman" w:eastAsia="Times New Roman" w:hAnsi="Times New Roman" w:cs="Times New Roman"/>
                            <w:b w:val="0"/>
                            <w:bCs w:val="0"/>
                            <w:color w:val="003DA5"/>
                            <w:sz w:val="39"/>
                            <w:szCs w:val="39"/>
                          </w:rPr>
                        </w:pPr>
                        <w:r>
                          <w:rPr>
                            <w:rFonts w:ascii="Times New Roman" w:eastAsia="Times New Roman" w:hAnsi="Times New Roman" w:cs="Times New Roman"/>
                            <w:b w:val="0"/>
                            <w:bCs w:val="0"/>
                            <w:color w:val="003DA5"/>
                            <w:sz w:val="39"/>
                            <w:szCs w:val="39"/>
                          </w:rPr>
                          <w:t>REL Webinar: Understanding Administrator Retention, Mobility, and Attrition</w:t>
                        </w:r>
                      </w:p>
                    </w:tc>
                  </w:tr>
                  <w:tr w:rsidR="00C80E5C" w14:paraId="3BA870CF" w14:textId="77777777">
                    <w:tc>
                      <w:tcPr>
                        <w:tcW w:w="5000" w:type="pct"/>
                        <w:vAlign w:val="center"/>
                        <w:hideMark/>
                      </w:tcPr>
                      <w:p w14:paraId="4699C542" w14:textId="77777777" w:rsidR="00C80E5C" w:rsidRDefault="00C80E5C">
                        <w:pPr>
                          <w:pStyle w:val="NormalWeb"/>
                        </w:pPr>
                        <w:proofErr w:type="gramStart"/>
                        <w:r>
                          <w:t>You’re</w:t>
                        </w:r>
                        <w:proofErr w:type="gramEnd"/>
                        <w:r>
                          <w:t xml:space="preserve"> invited to take part in a </w:t>
                        </w:r>
                        <w:r>
                          <w:rPr>
                            <w:rStyle w:val="Strong"/>
                            <w:rFonts w:ascii="Calibri" w:hAnsi="Calibri" w:cs="Calibri"/>
                          </w:rPr>
                          <w:t>REL Central</w:t>
                        </w:r>
                        <w:r>
                          <w:t xml:space="preserve"> webinar exploring research on school and district administrator retention, mobility, and attrition. The presenters will review findings from the REL Central report </w:t>
                        </w:r>
                        <w:hyperlink r:id="rId6" w:history="1">
                          <w:r>
                            <w:rPr>
                              <w:rStyle w:val="Emphasis"/>
                              <w:rFonts w:ascii="Calibri" w:hAnsi="Calibri" w:cs="Calibri"/>
                              <w:color w:val="0000FF"/>
                              <w:u w:val="single"/>
                            </w:rPr>
                            <w:t>Retention, Mobility, and Attrition Among School and District Leaders in Colorado, Missouri, and South Dakota</w:t>
                          </w:r>
                        </w:hyperlink>
                        <w:r>
                          <w:t xml:space="preserve"> as well as the ways in which practitioners are using the findings to inform policy and practice. Rounding out the discussion, state and local program leaders will explain how policies related to administrator mobility that </w:t>
                        </w:r>
                        <w:proofErr w:type="gramStart"/>
                        <w:r>
                          <w:t>they’ve</w:t>
                        </w:r>
                        <w:proofErr w:type="gramEnd"/>
                        <w:r>
                          <w:t xml:space="preserve"> implemented are related to the research being presented.</w:t>
                        </w:r>
                      </w:p>
                      <w:p w14:paraId="143148D3" w14:textId="77777777" w:rsidR="00C80E5C" w:rsidRDefault="00C80E5C">
                        <w:pPr>
                          <w:pStyle w:val="NormalWeb"/>
                        </w:pPr>
                        <w:r>
                          <w:t>The primary audience for this webinar is state education agency personnel and other stakeholders who want to learn about trends in administrator mobility. K–12 leaders responsible for administrator recruitment and retention may find this event particularly helpful.</w:t>
                        </w:r>
                      </w:p>
                      <w:p w14:paraId="41C383F2" w14:textId="77777777" w:rsidR="00C80E5C" w:rsidRDefault="00C80E5C">
                        <w:pPr>
                          <w:pStyle w:val="NormalWeb"/>
                        </w:pPr>
                        <w:r>
                          <w:rPr>
                            <w:rStyle w:val="Emphasis"/>
                            <w:rFonts w:ascii="Calibri" w:hAnsi="Calibri" w:cs="Calibri"/>
                            <w:b/>
                            <w:bCs/>
                          </w:rPr>
                          <w:t>Understanding Administrator Retention, Mobility, and Attrition</w:t>
                        </w:r>
                        <w:r>
                          <w:br/>
                        </w:r>
                        <w:r>
                          <w:rPr>
                            <w:rStyle w:val="Strong"/>
                            <w:rFonts w:ascii="Calibri" w:hAnsi="Calibri" w:cs="Calibri"/>
                          </w:rPr>
                          <w:t>February 25, 2021</w:t>
                        </w:r>
                        <w:r>
                          <w:br/>
                        </w:r>
                        <w:r>
                          <w:rPr>
                            <w:rStyle w:val="Strong"/>
                            <w:rFonts w:ascii="Calibri" w:hAnsi="Calibri" w:cs="Calibri"/>
                          </w:rPr>
                          <w:t>11:00 a.m.–12:00 p.m. MT</w:t>
                        </w:r>
                        <w:r>
                          <w:br/>
                        </w:r>
                        <w:hyperlink r:id="rId7" w:history="1">
                          <w:r>
                            <w:rPr>
                              <w:rStyle w:val="Strong"/>
                              <w:rFonts w:ascii="Calibri" w:hAnsi="Calibri" w:cs="Calibri"/>
                              <w:color w:val="0000FF"/>
                              <w:u w:val="single"/>
                            </w:rPr>
                            <w:t>Register here</w:t>
                          </w:r>
                        </w:hyperlink>
                      </w:p>
                      <w:p w14:paraId="04A9A4B9" w14:textId="77777777" w:rsidR="00C80E5C" w:rsidRDefault="00C80E5C">
                        <w:pPr>
                          <w:pStyle w:val="NormalWeb"/>
                        </w:pPr>
                        <w:r>
                          <w:t>*****</w:t>
                        </w:r>
                      </w:p>
                      <w:p w14:paraId="7B20FD75" w14:textId="77777777" w:rsidR="00C80E5C" w:rsidRDefault="00C80E5C">
                        <w:pPr>
                          <w:pStyle w:val="NormalWeb"/>
                        </w:pPr>
                        <w:r>
                          <w:rPr>
                            <w:rStyle w:val="Emphasis"/>
                            <w:rFonts w:ascii="Calibri" w:hAnsi="Calibri" w:cs="Calibri"/>
                          </w:rPr>
                          <w:t xml:space="preserve">The </w:t>
                        </w:r>
                        <w:hyperlink r:id="rId8" w:history="1">
                          <w:r>
                            <w:rPr>
                              <w:rStyle w:val="Emphasis"/>
                              <w:rFonts w:ascii="Calibri" w:hAnsi="Calibri" w:cs="Calibri"/>
                              <w:color w:val="0000FF"/>
                              <w:u w:val="single"/>
                            </w:rPr>
                            <w:t>Regional Educational Laboratories (RELs)</w:t>
                          </w:r>
                        </w:hyperlink>
                        <w:r>
                          <w:rPr>
                            <w:rStyle w:val="Emphasis"/>
                            <w:rFonts w:ascii="Calibri" w:hAnsi="Calibri" w:cs="Calibri"/>
                          </w:rPr>
                          <w:t xml:space="preserve"> build the capacity of educators to use data and research to improve student outcomes. Each REL responds to needs identified in its region and makes learning opportunities and other resources available to educators throughout the United States. The REL program is a part of the </w:t>
                        </w:r>
                        <w:hyperlink r:id="rId9" w:history="1">
                          <w:r>
                            <w:rPr>
                              <w:rStyle w:val="Emphasis"/>
                              <w:rFonts w:ascii="Calibri" w:hAnsi="Calibri" w:cs="Calibri"/>
                              <w:color w:val="0000FF"/>
                              <w:u w:val="single"/>
                            </w:rPr>
                            <w:t>Institute of Education Sciences (IES)</w:t>
                          </w:r>
                        </w:hyperlink>
                        <w:r>
                          <w:rPr>
                            <w:rStyle w:val="Emphasis"/>
                            <w:rFonts w:ascii="Calibri" w:hAnsi="Calibri" w:cs="Calibri"/>
                          </w:rPr>
                          <w:t xml:space="preserve"> in the U.S. Department of Education. To receive regular updates on REL work, including events and reports, follow IES on </w:t>
                        </w:r>
                        <w:hyperlink r:id="rId10" w:history="1">
                          <w:r>
                            <w:rPr>
                              <w:rStyle w:val="Emphasis"/>
                              <w:rFonts w:ascii="Calibri" w:hAnsi="Calibri" w:cs="Calibri"/>
                              <w:color w:val="0000FF"/>
                              <w:u w:val="single"/>
                            </w:rPr>
                            <w:t>Facebook</w:t>
                          </w:r>
                        </w:hyperlink>
                        <w:r>
                          <w:rPr>
                            <w:rStyle w:val="Emphasis"/>
                            <w:rFonts w:ascii="Calibri" w:hAnsi="Calibri" w:cs="Calibri"/>
                          </w:rPr>
                          <w:t xml:space="preserve"> and </w:t>
                        </w:r>
                        <w:hyperlink r:id="rId11" w:history="1">
                          <w:r>
                            <w:rPr>
                              <w:rStyle w:val="Emphasis"/>
                              <w:rFonts w:ascii="Calibri" w:hAnsi="Calibri" w:cs="Calibri"/>
                              <w:color w:val="0000FF"/>
                              <w:u w:val="single"/>
                            </w:rPr>
                            <w:t>Twitter</w:t>
                          </w:r>
                        </w:hyperlink>
                        <w:r>
                          <w:rPr>
                            <w:rStyle w:val="Emphasis"/>
                            <w:rFonts w:ascii="Calibri" w:hAnsi="Calibri" w:cs="Calibri"/>
                          </w:rPr>
                          <w:t xml:space="preserve">. To provide feedback on this or other REL work, email </w:t>
                        </w:r>
                        <w:hyperlink r:id="rId12" w:history="1">
                          <w:r>
                            <w:rPr>
                              <w:rStyle w:val="Emphasis"/>
                              <w:rFonts w:ascii="Calibri" w:hAnsi="Calibri" w:cs="Calibri"/>
                              <w:color w:val="0000FF"/>
                              <w:u w:val="single"/>
                            </w:rPr>
                            <w:t>Contact.IES@ed.gov</w:t>
                          </w:r>
                        </w:hyperlink>
                        <w:r>
                          <w:rPr>
                            <w:rStyle w:val="Emphasis"/>
                            <w:rFonts w:ascii="Calibri" w:hAnsi="Calibri" w:cs="Calibri"/>
                          </w:rPr>
                          <w:t>.</w:t>
                        </w:r>
                      </w:p>
                    </w:tc>
                  </w:tr>
                  <w:tr w:rsidR="00C80E5C" w14:paraId="3CC95E2C" w14:textId="77777777">
                    <w:tc>
                      <w:tcPr>
                        <w:tcW w:w="5000" w:type="pct"/>
                        <w:tcMar>
                          <w:top w:w="450" w:type="dxa"/>
                          <w:left w:w="0" w:type="dxa"/>
                          <w:bottom w:w="450" w:type="dxa"/>
                          <w:right w:w="0" w:type="dxa"/>
                        </w:tcMar>
                        <w:vAlign w:val="center"/>
                        <w:hideMark/>
                      </w:tcPr>
                      <w:p w14:paraId="47FC800D" w14:textId="77777777" w:rsidR="00C80E5C" w:rsidRDefault="00C80E5C">
                        <w:pPr>
                          <w:pStyle w:val="NormalWeb"/>
                          <w:rPr>
                            <w:rFonts w:ascii="Arial" w:hAnsi="Arial" w:cs="Arial"/>
                          </w:rPr>
                        </w:pPr>
                        <w:r>
                          <w:rPr>
                            <w:rStyle w:val="Emphasis"/>
                            <w:rFonts w:ascii="Arial" w:hAnsi="Arial" w:cs="Arial"/>
                          </w:rPr>
                          <w:t xml:space="preserve">The Institute of Education Sciences, a part of the U.S. Department of Education, is the nation's leading source for rigorous, independent education research, </w:t>
                        </w:r>
                        <w:proofErr w:type="gramStart"/>
                        <w:r>
                          <w:rPr>
                            <w:rStyle w:val="Emphasis"/>
                            <w:rFonts w:ascii="Arial" w:hAnsi="Arial" w:cs="Arial"/>
                          </w:rPr>
                          <w:t>evaluation</w:t>
                        </w:r>
                        <w:proofErr w:type="gramEnd"/>
                        <w:r>
                          <w:rPr>
                            <w:rStyle w:val="Emphasis"/>
                            <w:rFonts w:ascii="Arial" w:hAnsi="Arial" w:cs="Arial"/>
                          </w:rPr>
                          <w:t xml:space="preserve"> and statistics.</w:t>
                        </w:r>
                      </w:p>
                    </w:tc>
                  </w:tr>
                </w:tbl>
                <w:p w14:paraId="142E8399" w14:textId="5018E5C0" w:rsidR="00C80E5C" w:rsidRDefault="00C80E5C">
                  <w:pPr>
                    <w:rPr>
                      <w:rFonts w:ascii="Times New Roman" w:eastAsia="Times New Roman" w:hAnsi="Times New Roman" w:cs="Times New Roman"/>
                      <w:sz w:val="20"/>
                      <w:szCs w:val="20"/>
                    </w:rPr>
                  </w:pPr>
                </w:p>
              </w:tc>
            </w:tr>
            <w:tr w:rsidR="00C80E5C" w14:paraId="0DFA7B20" w14:textId="77777777">
              <w:trPr>
                <w:jc w:val="center"/>
              </w:trPr>
              <w:tc>
                <w:tcPr>
                  <w:tcW w:w="0" w:type="auto"/>
                  <w:shd w:val="clear" w:color="auto" w:fill="FFFFFF"/>
                  <w:hideMark/>
                </w:tcPr>
                <w:p w14:paraId="426DEBC3" w14:textId="77777777" w:rsidR="00C80E5C" w:rsidRDefault="00C80E5C">
                  <w:pPr>
                    <w:jc w:val="center"/>
                    <w:rPr>
                      <w:rFonts w:ascii="Times New Roman" w:eastAsia="Times New Roman" w:hAnsi="Times New Roman" w:cs="Times New Roman"/>
                      <w:sz w:val="20"/>
                      <w:szCs w:val="20"/>
                    </w:rPr>
                  </w:pPr>
                </w:p>
              </w:tc>
            </w:tr>
          </w:tbl>
          <w:p w14:paraId="5D522196" w14:textId="77777777" w:rsidR="00C80E5C" w:rsidRDefault="00C80E5C">
            <w:pPr>
              <w:jc w:val="center"/>
              <w:rPr>
                <w:rFonts w:ascii="Times New Roman" w:eastAsia="Times New Roman" w:hAnsi="Times New Roman" w:cs="Times New Roman"/>
                <w:sz w:val="20"/>
                <w:szCs w:val="20"/>
              </w:rPr>
            </w:pPr>
          </w:p>
        </w:tc>
      </w:tr>
    </w:tbl>
    <w:p w14:paraId="3EDADD8C" w14:textId="77777777" w:rsidR="00C80E5C" w:rsidRDefault="00C80E5C" w:rsidP="00C80E5C"/>
    <w:sectPr w:rsidR="00C80E5C" w:rsidSect="00C80E5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E5C"/>
    <w:rsid w:val="002D6C06"/>
    <w:rsid w:val="00B65E1C"/>
    <w:rsid w:val="00C80E5C"/>
    <w:rsid w:val="00CF2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3AFA2"/>
  <w15:chartTrackingRefBased/>
  <w15:docId w15:val="{D3AB5EE7-3D95-4A5B-ABCA-E527182B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E5C"/>
    <w:pPr>
      <w:spacing w:after="0" w:line="240" w:lineRule="auto"/>
    </w:pPr>
    <w:rPr>
      <w:rFonts w:ascii="Calibri" w:hAnsi="Calibri" w:cs="Calibri"/>
    </w:rPr>
  </w:style>
  <w:style w:type="paragraph" w:styleId="Heading1">
    <w:name w:val="heading 1"/>
    <w:basedOn w:val="Normal"/>
    <w:link w:val="Heading1Char"/>
    <w:uiPriority w:val="9"/>
    <w:qFormat/>
    <w:rsid w:val="00C80E5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E5C"/>
    <w:rPr>
      <w:rFonts w:ascii="Calibri" w:hAnsi="Calibri" w:cs="Calibri"/>
      <w:b/>
      <w:bCs/>
      <w:kern w:val="36"/>
      <w:sz w:val="48"/>
      <w:szCs w:val="48"/>
    </w:rPr>
  </w:style>
  <w:style w:type="character" w:styleId="Hyperlink">
    <w:name w:val="Hyperlink"/>
    <w:basedOn w:val="DefaultParagraphFont"/>
    <w:uiPriority w:val="99"/>
    <w:semiHidden/>
    <w:unhideWhenUsed/>
    <w:rsid w:val="00C80E5C"/>
    <w:rPr>
      <w:color w:val="0000FF"/>
      <w:u w:val="single"/>
    </w:rPr>
  </w:style>
  <w:style w:type="paragraph" w:styleId="NormalWeb">
    <w:name w:val="Normal (Web)"/>
    <w:basedOn w:val="Normal"/>
    <w:uiPriority w:val="99"/>
    <w:semiHidden/>
    <w:unhideWhenUsed/>
    <w:rsid w:val="00C80E5C"/>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C80E5C"/>
    <w:rPr>
      <w:b/>
      <w:bCs/>
    </w:rPr>
  </w:style>
  <w:style w:type="character" w:styleId="Emphasis">
    <w:name w:val="Emphasis"/>
    <w:basedOn w:val="DefaultParagraphFont"/>
    <w:uiPriority w:val="20"/>
    <w:qFormat/>
    <w:rsid w:val="00C80E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03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s.ed.gov/ncee/edlab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es.ed.gov/whatsnew/calendar/?id=12373&amp;tid=14&amp;cid=6&amp;va=1" TargetMode="External"/><Relationship Id="rId12" Type="http://schemas.openxmlformats.org/officeDocument/2006/relationships/hyperlink" Target="mailto:Contact.IES@ed.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es.ed.gov/ncee/edlabs/projects/project.asp?projectID=5681" TargetMode="External"/><Relationship Id="rId11" Type="http://schemas.openxmlformats.org/officeDocument/2006/relationships/hyperlink" Target="http://twitter.com/iesresearch" TargetMode="External"/><Relationship Id="rId5" Type="http://schemas.openxmlformats.org/officeDocument/2006/relationships/image" Target="media/image1.png"/><Relationship Id="rId10" Type="http://schemas.openxmlformats.org/officeDocument/2006/relationships/hyperlink" Target="https://www.facebook.com/iesresearch" TargetMode="External"/><Relationship Id="rId4" Type="http://schemas.openxmlformats.org/officeDocument/2006/relationships/hyperlink" Target="https://ies.ed.gov/" TargetMode="External"/><Relationship Id="rId9" Type="http://schemas.openxmlformats.org/officeDocument/2006/relationships/hyperlink" Target="https://ies.ed.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Ranieri</dc:creator>
  <cp:keywords/>
  <dc:description/>
  <cp:lastModifiedBy>Pam Ranieri</cp:lastModifiedBy>
  <cp:revision>1</cp:revision>
  <dcterms:created xsi:type="dcterms:W3CDTF">2021-02-16T17:42:00Z</dcterms:created>
  <dcterms:modified xsi:type="dcterms:W3CDTF">2021-02-16T17:44:00Z</dcterms:modified>
</cp:coreProperties>
</file>