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732" w:rsidRDefault="00E94732" w:rsidP="00CF79F3">
      <w:pPr>
        <w:pStyle w:val="Heading1"/>
      </w:pPr>
      <w:r>
        <w:t>An Overview for Compliant Secondary Transition Practices</w:t>
      </w:r>
    </w:p>
    <w:p w:rsidR="00A06B87" w:rsidRPr="00A06B87" w:rsidRDefault="00A06B87" w:rsidP="00A06B87"/>
    <w:p w:rsidR="00E94732" w:rsidRDefault="00E94732" w:rsidP="00E94732">
      <w:r>
        <w:t>Under the Individuals with Disabilities Act (IDEA) of 2004, Part B, established the need for each state to develop State Performance Plans which address accountability requirements. Within the State Performances Plan (SPP), Indicator 13 is the basis for effective and compliant secondary transition practices.</w:t>
      </w:r>
    </w:p>
    <w:p w:rsidR="00E94732" w:rsidRDefault="00E94732" w:rsidP="00E94732">
      <w:r>
        <w:t xml:space="preserve">The </w:t>
      </w:r>
      <w:hyperlink r:id="rId4" w:history="1">
        <w:r w:rsidRPr="00380F9C">
          <w:rPr>
            <w:rStyle w:val="Hyperlink"/>
          </w:rPr>
          <w:t>Indicator 13 Compliance Module Series</w:t>
        </w:r>
      </w:hyperlink>
      <w:r>
        <w:t xml:space="preserve"> is a training series developed by PaTTAN and Intermediate Unit Secondary Transition consultants in response to the accountability requirements under the Individuals wi</w:t>
      </w:r>
      <w:r>
        <w:t>th Disabilities Education Act (IDEA</w:t>
      </w:r>
      <w:r>
        <w:t>) of 2004, Part B State Performance Plans as it relates to secondary transition. The module series highlights effective practices in secondary transition. The series is designed to provide an overview of the seven areas required by Indicator 13 for compliant, s</w:t>
      </w:r>
      <w:r w:rsidR="00CF79F3">
        <w:t xml:space="preserve">econdary transition practices. </w:t>
      </w:r>
    </w:p>
    <w:p w:rsidR="00E94732" w:rsidRDefault="00E94732" w:rsidP="00E94732">
      <w:r>
        <w:t>Each module contains a pretest, PowerPoint presentation, effective practices Q&amp;A discussion and a posttest. Participants are encouraged to view the Overview Module prior to completing any of the individual content modules.</w:t>
      </w:r>
    </w:p>
    <w:p w:rsidR="00460EEE" w:rsidRDefault="00460EEE" w:rsidP="00CF79F3">
      <w:pPr>
        <w:pStyle w:val="Heading2"/>
      </w:pPr>
    </w:p>
    <w:p w:rsidR="00460EEE" w:rsidRDefault="00E94732" w:rsidP="00A06B87">
      <w:pPr>
        <w:pStyle w:val="Heading2"/>
      </w:pPr>
      <w:r>
        <w:t>The Modules:</w:t>
      </w:r>
    </w:p>
    <w:p w:rsidR="00AD5A7F" w:rsidRPr="00AD5A7F" w:rsidRDefault="00AD5A7F" w:rsidP="00AD5A7F">
      <w:bookmarkStart w:id="0" w:name="_GoBack"/>
      <w:bookmarkEnd w:id="0"/>
    </w:p>
    <w:p w:rsidR="00E94732" w:rsidRDefault="00AD5A7F" w:rsidP="00E94732">
      <w:hyperlink r:id="rId5" w:history="1">
        <w:r w:rsidR="00E94732" w:rsidRPr="00AD5A7F">
          <w:rPr>
            <w:rStyle w:val="Hyperlink"/>
            <w:rFonts w:asciiTheme="majorHAnsi" w:eastAsiaTheme="majorEastAsia" w:hAnsiTheme="majorHAnsi" w:cstheme="majorBidi"/>
            <w:sz w:val="24"/>
            <w:szCs w:val="24"/>
          </w:rPr>
          <w:t>Overview:</w:t>
        </w:r>
        <w:r w:rsidR="00E94732" w:rsidRPr="00AD5A7F">
          <w:rPr>
            <w:rStyle w:val="Hyperlink"/>
          </w:rPr>
          <w:t xml:space="preserve"> </w:t>
        </w:r>
      </w:hyperlink>
      <w:r w:rsidR="00E94732">
        <w:t xml:space="preserve"> The Overview module provides and introduction to the Indicator 13 Compliance Module Series and explains the format of each of the six modules in this series.</w:t>
      </w:r>
      <w:r>
        <w:t xml:space="preserve">  (URL - </w:t>
      </w:r>
      <w:hyperlink r:id="rId6" w:history="1">
        <w:r w:rsidRPr="00174455">
          <w:rPr>
            <w:rStyle w:val="Hyperlink"/>
          </w:rPr>
          <w:t>https://youtu.be/25vsagH728g</w:t>
        </w:r>
      </w:hyperlink>
      <w:r>
        <w:t xml:space="preserve">) </w:t>
      </w:r>
    </w:p>
    <w:p w:rsidR="00E94732" w:rsidRDefault="00452209" w:rsidP="00E94732">
      <w:hyperlink r:id="rId7" w:history="1">
        <w:r w:rsidR="00E94732" w:rsidRPr="00452209">
          <w:rPr>
            <w:rStyle w:val="Hyperlink"/>
            <w:rFonts w:asciiTheme="majorHAnsi" w:eastAsiaTheme="majorEastAsia" w:hAnsiTheme="majorHAnsi" w:cstheme="majorBidi"/>
            <w:sz w:val="24"/>
            <w:szCs w:val="24"/>
          </w:rPr>
          <w:t>Module 1:</w:t>
        </w:r>
        <w:r w:rsidR="00E94732" w:rsidRPr="00452209">
          <w:rPr>
            <w:rStyle w:val="Hyperlink"/>
          </w:rPr>
          <w:t xml:space="preserve"> </w:t>
        </w:r>
      </w:hyperlink>
      <w:r w:rsidR="00E94732">
        <w:t xml:space="preserve"> This module provides a compliance and effective practices overview of outside agency </w:t>
      </w:r>
      <w:r w:rsidR="00E94732">
        <w:t xml:space="preserve">and student involvement in the IEP </w:t>
      </w:r>
      <w:r w:rsidR="00E94732">
        <w:t>meeting.</w:t>
      </w:r>
      <w:r w:rsidR="00E94732">
        <w:t xml:space="preserve">  (</w:t>
      </w:r>
      <w:r w:rsidR="00CF79F3">
        <w:t>URL</w:t>
      </w:r>
      <w:r w:rsidR="00460EEE">
        <w:t xml:space="preserve"> -</w:t>
      </w:r>
      <w:r w:rsidR="00CF79F3">
        <w:t xml:space="preserve"> </w:t>
      </w:r>
      <w:hyperlink r:id="rId8" w:history="1">
        <w:r w:rsidR="00E94732" w:rsidRPr="00174455">
          <w:rPr>
            <w:rStyle w:val="Hyperlink"/>
          </w:rPr>
          <w:t>https://youtu.be/24cfIiFBwoU</w:t>
        </w:r>
      </w:hyperlink>
      <w:r w:rsidR="00E94732">
        <w:t xml:space="preserve">) </w:t>
      </w:r>
    </w:p>
    <w:p w:rsidR="007C71A7" w:rsidRDefault="007C71A7" w:rsidP="00E94732">
      <w:hyperlink r:id="rId9" w:history="1">
        <w:r w:rsidR="00E94732" w:rsidRPr="007C71A7">
          <w:rPr>
            <w:rStyle w:val="Hyperlink"/>
            <w:rFonts w:asciiTheme="majorHAnsi" w:eastAsiaTheme="majorEastAsia" w:hAnsiTheme="majorHAnsi" w:cstheme="majorBidi"/>
            <w:sz w:val="24"/>
            <w:szCs w:val="24"/>
          </w:rPr>
          <w:t>Module 2:</w:t>
        </w:r>
        <w:r w:rsidR="00E94732" w:rsidRPr="007C71A7">
          <w:rPr>
            <w:rStyle w:val="Hyperlink"/>
          </w:rPr>
          <w:t xml:space="preserve"> </w:t>
        </w:r>
      </w:hyperlink>
      <w:r w:rsidR="00E94732">
        <w:t xml:space="preserve"> This module provides a compliance and effective practices overview of interest/preference, academic, and functional assessment.</w:t>
      </w:r>
      <w:r>
        <w:t xml:space="preserve">  (URL - </w:t>
      </w:r>
      <w:hyperlink r:id="rId10" w:history="1">
        <w:r w:rsidRPr="00174455">
          <w:rPr>
            <w:rStyle w:val="Hyperlink"/>
          </w:rPr>
          <w:t>https://youtu.be/csa6qJRcBdY</w:t>
        </w:r>
      </w:hyperlink>
      <w:r>
        <w:t xml:space="preserve">) </w:t>
      </w:r>
    </w:p>
    <w:p w:rsidR="00E94732" w:rsidRDefault="00241CDF" w:rsidP="00E94732">
      <w:hyperlink r:id="rId11" w:history="1">
        <w:r w:rsidR="00E94732" w:rsidRPr="00241CDF">
          <w:rPr>
            <w:rStyle w:val="Hyperlink"/>
            <w:rFonts w:asciiTheme="majorHAnsi" w:eastAsiaTheme="majorEastAsia" w:hAnsiTheme="majorHAnsi" w:cstheme="majorBidi"/>
            <w:sz w:val="24"/>
            <w:szCs w:val="24"/>
          </w:rPr>
          <w:t>Module 3:</w:t>
        </w:r>
        <w:r w:rsidR="00E94732" w:rsidRPr="00241CDF">
          <w:rPr>
            <w:rStyle w:val="Hyperlink"/>
          </w:rPr>
          <w:t xml:space="preserve"> </w:t>
        </w:r>
      </w:hyperlink>
      <w:r w:rsidR="00E94732">
        <w:t xml:space="preserve"> This module provides a compliance and effective practices overview of Post-Secondary Goals related to education/training, employment, and independent living.</w:t>
      </w:r>
      <w:r w:rsidR="0045384F">
        <w:t xml:space="preserve">  (URL - </w:t>
      </w:r>
      <w:hyperlink r:id="rId12" w:history="1">
        <w:r w:rsidRPr="00174455">
          <w:rPr>
            <w:rStyle w:val="Hyperlink"/>
          </w:rPr>
          <w:t>https://youtu.be/k00v3kzxwd0</w:t>
        </w:r>
      </w:hyperlink>
      <w:r>
        <w:t xml:space="preserve">) </w:t>
      </w:r>
    </w:p>
    <w:p w:rsidR="00E94732" w:rsidRDefault="00AD5A7F" w:rsidP="00E94732">
      <w:hyperlink r:id="rId13" w:history="1">
        <w:r w:rsidR="00E94732" w:rsidRPr="00AD5A7F">
          <w:rPr>
            <w:rStyle w:val="Hyperlink"/>
            <w:rFonts w:asciiTheme="majorHAnsi" w:eastAsiaTheme="majorEastAsia" w:hAnsiTheme="majorHAnsi" w:cstheme="majorBidi"/>
            <w:sz w:val="24"/>
            <w:szCs w:val="24"/>
          </w:rPr>
          <w:t>Module 4</w:t>
        </w:r>
        <w:r w:rsidR="00E94732" w:rsidRPr="00AD5A7F">
          <w:rPr>
            <w:rStyle w:val="Hyperlink"/>
          </w:rPr>
          <w:t xml:space="preserve">: </w:t>
        </w:r>
      </w:hyperlink>
      <w:r w:rsidR="00E94732">
        <w:t xml:space="preserve"> This module provides a compliance and effective practices overview of how to</w:t>
      </w:r>
      <w:r w:rsidR="0011045C">
        <w:t xml:space="preserve"> annually </w:t>
      </w:r>
      <w:r w:rsidR="00E94732">
        <w:t>update the three Post-Secondary Goal areas.</w:t>
      </w:r>
      <w:r>
        <w:t xml:space="preserve">  (URL - </w:t>
      </w:r>
      <w:hyperlink r:id="rId14" w:tgtFrame="_blank" w:history="1">
        <w:r w:rsidRPr="00AD5A7F">
          <w:rPr>
            <w:rStyle w:val="Hyperlink"/>
          </w:rPr>
          <w:t>https://youtu.be/dH_gIPxKP04</w:t>
        </w:r>
      </w:hyperlink>
      <w:r>
        <w:t>)</w:t>
      </w:r>
    </w:p>
    <w:p w:rsidR="00E94732" w:rsidRDefault="00380F9C" w:rsidP="00E94732">
      <w:hyperlink r:id="rId15" w:history="1">
        <w:r w:rsidR="00E94732" w:rsidRPr="00380F9C">
          <w:rPr>
            <w:rStyle w:val="Hyperlink"/>
            <w:rFonts w:asciiTheme="majorHAnsi" w:eastAsiaTheme="majorEastAsia" w:hAnsiTheme="majorHAnsi" w:cstheme="majorBidi"/>
            <w:sz w:val="24"/>
            <w:szCs w:val="24"/>
          </w:rPr>
          <w:t xml:space="preserve">Module 5: </w:t>
        </w:r>
      </w:hyperlink>
      <w:r w:rsidR="00E94732" w:rsidRPr="00460EEE">
        <w:rPr>
          <w:rStyle w:val="Heading3Char"/>
        </w:rPr>
        <w:t xml:space="preserve"> </w:t>
      </w:r>
      <w:r w:rsidR="00E94732">
        <w:t>This module provides a compliance and effective practices overview of the “</w:t>
      </w:r>
      <w:r w:rsidR="00460EEE">
        <w:t>transition grid” section of the IEP</w:t>
      </w:r>
      <w:r w:rsidR="00E94732">
        <w:t>. Included in this section is a discussion regarding Courses of Study, Activities and Services related to the Post-Secondary Goals.</w:t>
      </w:r>
      <w:r>
        <w:t xml:space="preserve">  (URL - </w:t>
      </w:r>
      <w:hyperlink r:id="rId16" w:history="1">
        <w:r w:rsidRPr="00174455">
          <w:rPr>
            <w:rStyle w:val="Hyperlink"/>
          </w:rPr>
          <w:t>https://youtu.be/GPXio4rbqmM</w:t>
        </w:r>
      </w:hyperlink>
      <w:r>
        <w:t xml:space="preserve">) </w:t>
      </w:r>
    </w:p>
    <w:p w:rsidR="00D025C9" w:rsidRDefault="00380F9C" w:rsidP="00E94732">
      <w:hyperlink r:id="rId17" w:history="1">
        <w:r w:rsidR="00E94732" w:rsidRPr="00380F9C">
          <w:rPr>
            <w:rStyle w:val="Hyperlink"/>
            <w:rFonts w:asciiTheme="majorHAnsi" w:eastAsiaTheme="majorEastAsia" w:hAnsiTheme="majorHAnsi" w:cstheme="majorBidi"/>
            <w:sz w:val="24"/>
            <w:szCs w:val="24"/>
          </w:rPr>
          <w:t>Module 6:</w:t>
        </w:r>
        <w:r w:rsidR="00E94732" w:rsidRPr="00380F9C">
          <w:rPr>
            <w:rStyle w:val="Hyperlink"/>
          </w:rPr>
          <w:t xml:space="preserve"> </w:t>
        </w:r>
      </w:hyperlink>
      <w:r w:rsidR="00E94732">
        <w:t xml:space="preserve"> This module provides a compliance and effective practices overview of Measurable Annual Goals</w:t>
      </w:r>
      <w:r>
        <w:t xml:space="preserve">.  (URL - </w:t>
      </w:r>
      <w:hyperlink r:id="rId18" w:tgtFrame="_blank" w:history="1">
        <w:r w:rsidRPr="00380F9C">
          <w:rPr>
            <w:rStyle w:val="Hyperlink"/>
          </w:rPr>
          <w:t>https://youtu.be/mTnRVXf2WB4</w:t>
        </w:r>
      </w:hyperlink>
      <w:r>
        <w:t>)</w:t>
      </w:r>
    </w:p>
    <w:sectPr w:rsidR="00D02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32"/>
    <w:rsid w:val="0011045C"/>
    <w:rsid w:val="00241CDF"/>
    <w:rsid w:val="00380F9C"/>
    <w:rsid w:val="00452209"/>
    <w:rsid w:val="0045384F"/>
    <w:rsid w:val="00460EEE"/>
    <w:rsid w:val="007C71A7"/>
    <w:rsid w:val="00A06B87"/>
    <w:rsid w:val="00AD5A7F"/>
    <w:rsid w:val="00CF79F3"/>
    <w:rsid w:val="00D025C9"/>
    <w:rsid w:val="00E9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E2449-961D-4325-96DA-A6CBA770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79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79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F79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32"/>
    <w:rPr>
      <w:color w:val="0563C1" w:themeColor="hyperlink"/>
      <w:u w:val="single"/>
    </w:rPr>
  </w:style>
  <w:style w:type="character" w:customStyle="1" w:styleId="Heading1Char">
    <w:name w:val="Heading 1 Char"/>
    <w:basedOn w:val="DefaultParagraphFont"/>
    <w:link w:val="Heading1"/>
    <w:uiPriority w:val="9"/>
    <w:rsid w:val="00CF79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F79F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F79F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68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4cfIiFBwoU" TargetMode="External"/><Relationship Id="rId13" Type="http://schemas.openxmlformats.org/officeDocument/2006/relationships/hyperlink" Target="https://youtu.be/dH_gIPxKP04" TargetMode="External"/><Relationship Id="rId18" Type="http://schemas.openxmlformats.org/officeDocument/2006/relationships/hyperlink" Target="https://youtu.be/mTnRVXf2WB4" TargetMode="External"/><Relationship Id="rId3" Type="http://schemas.openxmlformats.org/officeDocument/2006/relationships/webSettings" Target="webSettings.xml"/><Relationship Id="rId7" Type="http://schemas.openxmlformats.org/officeDocument/2006/relationships/hyperlink" Target="https://youtu.be/24cfIiFBwoU" TargetMode="External"/><Relationship Id="rId12" Type="http://schemas.openxmlformats.org/officeDocument/2006/relationships/hyperlink" Target="https://youtu.be/k00v3kzxwd0" TargetMode="External"/><Relationship Id="rId17" Type="http://schemas.openxmlformats.org/officeDocument/2006/relationships/hyperlink" Target="https://youtu.be/mTnRVXf2WB4" TargetMode="External"/><Relationship Id="rId2" Type="http://schemas.openxmlformats.org/officeDocument/2006/relationships/settings" Target="settings.xml"/><Relationship Id="rId16" Type="http://schemas.openxmlformats.org/officeDocument/2006/relationships/hyperlink" Target="https://youtu.be/GPXio4rbqm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25vsagH728g" TargetMode="External"/><Relationship Id="rId11" Type="http://schemas.openxmlformats.org/officeDocument/2006/relationships/hyperlink" Target="https://youtu.be/k00v3kzxwd0" TargetMode="External"/><Relationship Id="rId5" Type="http://schemas.openxmlformats.org/officeDocument/2006/relationships/hyperlink" Target="https://youtu.be/25vsagH728g" TargetMode="External"/><Relationship Id="rId15" Type="http://schemas.openxmlformats.org/officeDocument/2006/relationships/hyperlink" Target="https://youtu.be/GPXio4rbqmM" TargetMode="External"/><Relationship Id="rId10" Type="http://schemas.openxmlformats.org/officeDocument/2006/relationships/hyperlink" Target="https://youtu.be/csa6qJRcBdY" TargetMode="External"/><Relationship Id="rId19" Type="http://schemas.openxmlformats.org/officeDocument/2006/relationships/fontTable" Target="fontTable.xml"/><Relationship Id="rId4" Type="http://schemas.openxmlformats.org/officeDocument/2006/relationships/hyperlink" Target="https://www.youtube.com/watch?v=csa6qJRcBdY&amp;list=PLCkBP2csbOssivNBa-Vc6BM3H0ofP0KDQ" TargetMode="External"/><Relationship Id="rId9" Type="http://schemas.openxmlformats.org/officeDocument/2006/relationships/hyperlink" Target="https://youtu.be/csa6qJRcBdY" TargetMode="External"/><Relationship Id="rId14" Type="http://schemas.openxmlformats.org/officeDocument/2006/relationships/hyperlink" Target="https://youtu.be/dH_gIPxKP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Palmiero</dc:creator>
  <cp:keywords/>
  <dc:description/>
  <cp:lastModifiedBy>James Palmiero</cp:lastModifiedBy>
  <cp:revision>10</cp:revision>
  <dcterms:created xsi:type="dcterms:W3CDTF">2018-09-28T14:13:00Z</dcterms:created>
  <dcterms:modified xsi:type="dcterms:W3CDTF">2018-09-28T16:09:00Z</dcterms:modified>
</cp:coreProperties>
</file>